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A5" w:rsidRDefault="006C6DA5" w:rsidP="006C6DA5">
      <w:pPr>
        <w:rPr>
          <w:b/>
          <w:u w:val="single"/>
        </w:rPr>
      </w:pPr>
    </w:p>
    <w:p w:rsidR="006C6DA5" w:rsidRPr="006C6DA5" w:rsidRDefault="006C6DA5" w:rsidP="006C6DA5">
      <w:pPr>
        <w:rPr>
          <w:b/>
          <w:sz w:val="24"/>
          <w:szCs w:val="24"/>
        </w:rPr>
      </w:pPr>
      <w:r w:rsidRPr="006C6DA5">
        <w:rPr>
          <w:b/>
          <w:sz w:val="24"/>
          <w:szCs w:val="24"/>
          <w:u w:val="single"/>
        </w:rPr>
        <w:t>Bill NUMBER:</w:t>
      </w:r>
      <w:r w:rsidRPr="006C6DA5">
        <w:rPr>
          <w:b/>
          <w:sz w:val="24"/>
          <w:szCs w:val="24"/>
        </w:rPr>
        <w:tab/>
      </w:r>
      <w:r w:rsidRPr="006C6DA5">
        <w:rPr>
          <w:b/>
          <w:sz w:val="24"/>
          <w:szCs w:val="24"/>
        </w:rPr>
        <w:tab/>
        <w:t>ASSEMBLY BILL 741</w:t>
      </w:r>
    </w:p>
    <w:p w:rsidR="006C6DA5" w:rsidRPr="006C6DA5" w:rsidRDefault="006C6DA5" w:rsidP="006C6DA5">
      <w:pPr>
        <w:rPr>
          <w:b/>
          <w:sz w:val="24"/>
          <w:szCs w:val="24"/>
        </w:rPr>
      </w:pPr>
      <w:r w:rsidRPr="006C6DA5">
        <w:rPr>
          <w:b/>
          <w:sz w:val="24"/>
          <w:szCs w:val="24"/>
          <w:u w:val="single"/>
        </w:rPr>
        <w:t>AUTHOR: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ASSEMBLY MEMBER CHERYL </w:t>
      </w:r>
      <w:r w:rsidRPr="006C6DA5">
        <w:rPr>
          <w:b/>
          <w:sz w:val="24"/>
          <w:szCs w:val="24"/>
        </w:rPr>
        <w:t>BROWN</w:t>
      </w:r>
    </w:p>
    <w:p w:rsidR="006C6DA5" w:rsidRPr="006C6DA5" w:rsidRDefault="006C6DA5" w:rsidP="006C6DA5">
      <w:pPr>
        <w:rPr>
          <w:b/>
          <w:sz w:val="24"/>
          <w:szCs w:val="24"/>
          <w:u w:val="single"/>
        </w:rPr>
      </w:pPr>
      <w:r w:rsidRPr="006C6DA5">
        <w:rPr>
          <w:b/>
          <w:sz w:val="24"/>
          <w:szCs w:val="24"/>
          <w:u w:val="single"/>
        </w:rPr>
        <w:t>BACKGROUND:</w:t>
      </w:r>
    </w:p>
    <w:p w:rsidR="006C6DA5" w:rsidRPr="006C6DA5" w:rsidRDefault="006C6DA5" w:rsidP="006C6DA5">
      <w:pPr>
        <w:rPr>
          <w:sz w:val="24"/>
          <w:szCs w:val="24"/>
        </w:rPr>
      </w:pPr>
      <w:r w:rsidRPr="006C6DA5">
        <w:rPr>
          <w:sz w:val="24"/>
          <w:szCs w:val="24"/>
        </w:rPr>
        <w:t>Assembly Bill 741 by Assembly Member Brown proposes to amend the current Tax Equity Allocation (TEA) formula and would, commencing with the 2012-13 fiscal year, and each fiscal year thereafter, increase the allocation of property tax revenues under a new TEA formula for qualifying cities.</w:t>
      </w:r>
    </w:p>
    <w:p w:rsidR="006C6DA5" w:rsidRPr="006C6DA5" w:rsidRDefault="006C6DA5" w:rsidP="006C6DA5">
      <w:pPr>
        <w:rPr>
          <w:sz w:val="24"/>
          <w:szCs w:val="24"/>
        </w:rPr>
      </w:pPr>
      <w:r w:rsidRPr="006C6DA5">
        <w:rPr>
          <w:sz w:val="24"/>
          <w:szCs w:val="24"/>
        </w:rPr>
        <w:t xml:space="preserve">The sponsor of AB 741 is the city of Fontana and the intent of the bill is to increase the amount of property tax revenue to Fontana and </w:t>
      </w:r>
      <w:r w:rsidR="00F70675">
        <w:rPr>
          <w:sz w:val="24"/>
          <w:szCs w:val="24"/>
        </w:rPr>
        <w:t>cities</w:t>
      </w:r>
      <w:r w:rsidRPr="006C6DA5">
        <w:rPr>
          <w:sz w:val="24"/>
          <w:szCs w:val="24"/>
        </w:rPr>
        <w:t xml:space="preserve"> similarly situated with low pro</w:t>
      </w:r>
      <w:r w:rsidR="00F70675">
        <w:rPr>
          <w:sz w:val="24"/>
          <w:szCs w:val="24"/>
        </w:rPr>
        <w:t>perty tax allocations, to over three</w:t>
      </w:r>
      <w:r w:rsidRPr="006C6DA5">
        <w:rPr>
          <w:sz w:val="24"/>
          <w:szCs w:val="24"/>
        </w:rPr>
        <w:t xml:space="preserve"> fiscal</w:t>
      </w:r>
      <w:r w:rsidR="00F70675">
        <w:rPr>
          <w:sz w:val="24"/>
          <w:szCs w:val="24"/>
        </w:rPr>
        <w:t xml:space="preserve"> year receive approximately 15 percent </w:t>
      </w:r>
      <w:r w:rsidRPr="006C6DA5">
        <w:rPr>
          <w:sz w:val="24"/>
          <w:szCs w:val="24"/>
        </w:rPr>
        <w:t xml:space="preserve">of the county-wide property tax, with those revenues shifted from </w:t>
      </w:r>
      <w:r w:rsidR="00F70675">
        <w:rPr>
          <w:sz w:val="24"/>
          <w:szCs w:val="24"/>
        </w:rPr>
        <w:t>counties</w:t>
      </w:r>
      <w:r w:rsidRPr="006C6DA5">
        <w:rPr>
          <w:sz w:val="24"/>
          <w:szCs w:val="24"/>
        </w:rPr>
        <w:t xml:space="preserve"> and special districts to each qualifying city.</w:t>
      </w:r>
    </w:p>
    <w:p w:rsidR="006C6DA5" w:rsidRPr="006C6DA5" w:rsidRDefault="006C6DA5" w:rsidP="006C6DA5">
      <w:pPr>
        <w:rPr>
          <w:sz w:val="24"/>
          <w:szCs w:val="24"/>
        </w:rPr>
      </w:pPr>
      <w:r w:rsidRPr="006C6DA5">
        <w:rPr>
          <w:sz w:val="24"/>
          <w:szCs w:val="24"/>
        </w:rPr>
        <w:t>The Mosquito and Vector Control Association of California opposes AB 741 for the following reasons:</w:t>
      </w:r>
    </w:p>
    <w:p w:rsidR="006C6DA5" w:rsidRPr="006C6DA5" w:rsidRDefault="006C6DA5" w:rsidP="006C6DA5">
      <w:pPr>
        <w:rPr>
          <w:sz w:val="24"/>
          <w:szCs w:val="24"/>
        </w:rPr>
      </w:pPr>
      <w:r w:rsidRPr="006C6DA5">
        <w:rPr>
          <w:sz w:val="24"/>
          <w:szCs w:val="24"/>
        </w:rPr>
        <w:t>Mosquito and vector control districts rely almost exclusively on the property tax to provide their public health and safety services to the citizens of California;</w:t>
      </w:r>
    </w:p>
    <w:p w:rsidR="006C6DA5" w:rsidRPr="006C6DA5" w:rsidRDefault="006C6DA5" w:rsidP="006C6DA5">
      <w:pPr>
        <w:rPr>
          <w:sz w:val="24"/>
          <w:szCs w:val="24"/>
        </w:rPr>
      </w:pPr>
      <w:r w:rsidRPr="006C6DA5">
        <w:rPr>
          <w:sz w:val="24"/>
          <w:szCs w:val="24"/>
        </w:rPr>
        <w:t>Mosquito and vector control districts continue to shift millions of property tax dollars annually to the Educational Revenue Augmentation Fund (ERAF):</w:t>
      </w:r>
    </w:p>
    <w:p w:rsidR="006C6DA5" w:rsidRPr="006C6DA5" w:rsidRDefault="006C6DA5" w:rsidP="006C6DA5">
      <w:pPr>
        <w:rPr>
          <w:sz w:val="24"/>
          <w:szCs w:val="24"/>
        </w:rPr>
      </w:pPr>
      <w:r w:rsidRPr="006C6DA5">
        <w:rPr>
          <w:sz w:val="24"/>
          <w:szCs w:val="24"/>
        </w:rPr>
        <w:t>Prior the elimination of redevelopment agencies, mosquito and vector control districts shifted millions of dollars</w:t>
      </w:r>
      <w:r w:rsidR="00F70675">
        <w:rPr>
          <w:sz w:val="24"/>
          <w:szCs w:val="24"/>
        </w:rPr>
        <w:t xml:space="preserve"> </w:t>
      </w:r>
      <w:bookmarkStart w:id="0" w:name="_GoBack"/>
      <w:bookmarkEnd w:id="0"/>
      <w:r w:rsidRPr="006C6DA5">
        <w:rPr>
          <w:sz w:val="24"/>
          <w:szCs w:val="24"/>
        </w:rPr>
        <w:t>(property tax increment)to redevelopment agencies within their jurisdictions, property tax increment that could have been utilized for their local priorities, including, but not limited to, the on-going efforts to combat West Nile Virus and other mosquito and vector-borne diseases.</w:t>
      </w:r>
    </w:p>
    <w:p w:rsidR="006C6DA5" w:rsidRPr="006C6DA5" w:rsidRDefault="006C6DA5" w:rsidP="006C6DA5">
      <w:pPr>
        <w:rPr>
          <w:sz w:val="24"/>
          <w:szCs w:val="24"/>
        </w:rPr>
      </w:pPr>
      <w:r w:rsidRPr="006C6DA5">
        <w:rPr>
          <w:sz w:val="24"/>
          <w:szCs w:val="24"/>
        </w:rPr>
        <w:t>The Mosquito and Vector Control Association opposes Assembly Bill 741.</w:t>
      </w:r>
    </w:p>
    <w:p w:rsidR="00CF3599" w:rsidRPr="006C6DA5" w:rsidRDefault="00CF3599">
      <w:pPr>
        <w:rPr>
          <w:sz w:val="24"/>
          <w:szCs w:val="24"/>
        </w:rPr>
      </w:pPr>
    </w:p>
    <w:sectPr w:rsidR="00CF3599" w:rsidRPr="006C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A5"/>
    <w:rsid w:val="006C6DA5"/>
    <w:rsid w:val="00CF3599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20072-AE89-4F70-B0EB-92DD316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Catherine Smith</cp:lastModifiedBy>
  <cp:revision>2</cp:revision>
  <dcterms:created xsi:type="dcterms:W3CDTF">2013-03-18T20:47:00Z</dcterms:created>
  <dcterms:modified xsi:type="dcterms:W3CDTF">2013-03-18T20:47:00Z</dcterms:modified>
</cp:coreProperties>
</file>